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5BE95E">
      <w:pPr>
        <w:ind w:firstLine="1446" w:firstLineChars="400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 xml:space="preserve">中国石化加油卡绑卡业务须知 </w:t>
      </w:r>
    </w:p>
    <w:p w14:paraId="0F9953E5">
      <w:pPr>
        <w:ind w:firstLine="1446" w:firstLineChars="400"/>
        <w:rPr>
          <w:rFonts w:hint="eastAsia"/>
          <w:b/>
          <w:bCs/>
          <w:sz w:val="36"/>
          <w:szCs w:val="36"/>
        </w:rPr>
      </w:pPr>
    </w:p>
    <w:p w14:paraId="23C36584"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尊敬的客户：</w:t>
      </w:r>
    </w:p>
    <w:p w14:paraId="512E0D65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您好！当您申请加油卡绑卡时，我司将按下述要求和规则为您办理业务。</w:t>
      </w:r>
    </w:p>
    <w:p w14:paraId="4B3A025B">
      <w:pPr>
        <w:spacing w:line="360" w:lineRule="auto"/>
        <w:ind w:firstLine="480" w:firstLineChars="200"/>
        <w:rPr>
          <w:rFonts w:ascii="黑体" w:hAnsi="黑体" w:eastAsia="黑体" w:cs="仿宋"/>
          <w:sz w:val="24"/>
        </w:rPr>
      </w:pPr>
      <w:r>
        <w:rPr>
          <w:rFonts w:hint="eastAsia" w:ascii="黑体" w:hAnsi="黑体" w:eastAsia="黑体" w:cs="仿宋"/>
          <w:sz w:val="24"/>
        </w:rPr>
        <w:t>一、</w:t>
      </w:r>
      <w:r>
        <w:rPr>
          <w:rFonts w:hint="eastAsia" w:ascii="黑体" w:hAnsi="黑体" w:eastAsia="黑体" w:cs="黑体"/>
          <w:sz w:val="24"/>
        </w:rPr>
        <w:t>绑卡人的实名要求</w:t>
      </w:r>
    </w:p>
    <w:p w14:paraId="6743509B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</w:t>
      </w:r>
      <w:r>
        <w:rPr>
          <w:rFonts w:ascii="仿宋" w:hAnsi="仿宋" w:eastAsia="仿宋" w:cs="仿宋"/>
          <w:sz w:val="24"/>
        </w:rPr>
        <w:t>.</w:t>
      </w:r>
      <w:r>
        <w:rPr>
          <w:rFonts w:hint="eastAsia" w:ascii="仿宋" w:hAnsi="仿宋" w:eastAsia="仿宋" w:cs="仿宋"/>
          <w:sz w:val="24"/>
        </w:rPr>
        <w:t>绑卡前，绑卡人须在“易捷加油APP”、“易捷加油小程序（微信/支付宝）”等渠道，通过“姓名、身份证号、手机号”的三要素验证，并开通“权益会员”。</w:t>
      </w:r>
    </w:p>
    <w:p w14:paraId="518082C8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</w:t>
      </w:r>
      <w:r>
        <w:rPr>
          <w:rFonts w:ascii="仿宋" w:hAnsi="仿宋" w:eastAsia="仿宋" w:cs="仿宋"/>
          <w:sz w:val="24"/>
        </w:rPr>
        <w:t>.</w:t>
      </w:r>
      <w:r>
        <w:rPr>
          <w:rFonts w:hint="eastAsia" w:ascii="仿宋" w:hAnsi="仿宋" w:eastAsia="仿宋" w:cs="仿宋"/>
          <w:sz w:val="24"/>
        </w:rPr>
        <w:t>个人客户可绑定的加油卡类型：个人主卡、个人副卡、单位副卡。</w:t>
      </w:r>
    </w:p>
    <w:p w14:paraId="61830205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3</w:t>
      </w:r>
      <w:r>
        <w:rPr>
          <w:rFonts w:ascii="仿宋" w:hAnsi="仿宋" w:eastAsia="仿宋" w:cs="仿宋"/>
          <w:sz w:val="24"/>
        </w:rPr>
        <w:t>.</w:t>
      </w:r>
      <w:r>
        <w:rPr>
          <w:rFonts w:hint="eastAsia" w:ascii="仿宋" w:hAnsi="仿宋" w:eastAsia="仿宋" w:cs="仿宋"/>
          <w:sz w:val="24"/>
        </w:rPr>
        <w:t>单位客户可绑定的加油卡类型：单位主卡。</w:t>
      </w:r>
    </w:p>
    <w:p w14:paraId="5C05A269">
      <w:pPr>
        <w:spacing w:line="360" w:lineRule="auto"/>
        <w:ind w:firstLine="480" w:firstLineChars="200"/>
        <w:rPr>
          <w:rFonts w:ascii="黑体" w:hAnsi="黑体" w:eastAsia="黑体" w:cs="仿宋"/>
          <w:sz w:val="24"/>
        </w:rPr>
      </w:pPr>
      <w:r>
        <w:rPr>
          <w:rFonts w:hint="eastAsia" w:ascii="黑体" w:hAnsi="黑体" w:eastAsia="黑体" w:cs="仿宋"/>
          <w:sz w:val="24"/>
        </w:rPr>
        <w:t>二、</w:t>
      </w:r>
      <w:r>
        <w:rPr>
          <w:rFonts w:hint="eastAsia" w:ascii="黑体" w:hAnsi="黑体" w:eastAsia="黑体" w:cs="黑体"/>
          <w:sz w:val="24"/>
        </w:rPr>
        <w:t>绑卡方式</w:t>
      </w:r>
    </w:p>
    <w:p w14:paraId="7246F35B">
      <w:pPr>
        <w:spacing w:line="360" w:lineRule="auto"/>
        <w:ind w:firstLine="480" w:firstLineChars="200"/>
        <w:rPr>
          <w:rFonts w:ascii="黑体" w:hAnsi="黑体" w:eastAsia="黑体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（一）实名绑卡 </w:t>
      </w:r>
    </w:p>
    <w:p w14:paraId="7E8BB957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个人客户绑个人主卡（三要素验证）：加油卡系统留存的个人主卡持卡人“姓名、身份证号、手机号”须与绑卡人信息一致。</w:t>
      </w:r>
    </w:p>
    <w:p w14:paraId="3A4099FF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个人客户绑个人副卡（二要素验证）：加油卡系统留存的个人副卡持卡人“姓名、身份证号”须与绑卡人信息一致。</w:t>
      </w:r>
    </w:p>
    <w:p w14:paraId="12C819E3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个人客户绑单位副卡（二要素验证）：加油卡系统留存的单位副卡持卡人“姓名、身份证号”须与绑卡人信息一致。</w:t>
      </w:r>
    </w:p>
    <w:p w14:paraId="33CF523B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单位客户绑单位主卡（单位二要素+绑卡人三要素验证）：加油卡系统留存的“单位名称”或“统一社会信用代码”以及主卡持卡人“姓名、身份证号、手机号”须与绑卡人信息一致。</w:t>
      </w:r>
    </w:p>
    <w:p w14:paraId="77C2E03D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上述信息不一致时，须到发卡省指定发卡网点修改完善信息，方可绑卡。</w:t>
      </w:r>
    </w:p>
    <w:p w14:paraId="072909C8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（二）授权绑卡</w:t>
      </w:r>
    </w:p>
    <w:p w14:paraId="0FACA660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如绑卡人是“柴油权益会员”，且绑定的加油卡为“单位副卡”，加油卡系统留存的单位副卡持卡人“姓名、身份证号”与绑卡人信息不一致（二要素验证），且副卡持卡人本人未实名绑卡时，绑卡人可通过授权绑卡方式完成绑卡。</w:t>
      </w:r>
    </w:p>
    <w:p w14:paraId="05C1B19E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授权绑卡需由单位副卡所属的主卡持卡人短信同意后，方可绑卡。如主卡持卡人24小时未回复的，绑卡人须重新提交申请。</w:t>
      </w:r>
    </w:p>
    <w:p w14:paraId="6AE36ACF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黑体" w:hAnsi="黑体" w:eastAsia="黑体" w:cs="黑体"/>
          <w:sz w:val="24"/>
        </w:rPr>
        <w:t>三、绑卡后可获的个人权益积分</w:t>
      </w:r>
    </w:p>
    <w:p w14:paraId="53DB53EA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.个人会员绑定个人卡主卡，并设置为常用卡之后，持卡消费可产生个人权益积分及成长值。一位会员最多只能设置5张常用卡，未超过5张时，系统默认都为常用卡；如超过5张时，系统会提示“请设置常用卡”。未设置常用卡的个人卡主卡，其消费不产生权益积分及成长值。</w:t>
      </w:r>
    </w:p>
    <w:p w14:paraId="4E2AD105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2.个人会员绑定个人卡副卡，其消费不产生个人权益积分及成长值。</w:t>
      </w:r>
    </w:p>
    <w:p w14:paraId="0BD8BA30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3.柴油权益会员绑定单位卡副卡，其消费可产生个人权益积分及成长值。</w:t>
      </w:r>
    </w:p>
    <w:p w14:paraId="3C7B1CAA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4.单位主卡持卡人绑定单位卡主卡，其消费不产生个人权益积分及成长值。</w:t>
      </w:r>
    </w:p>
    <w:p w14:paraId="093B6255">
      <w:pPr>
        <w:spacing w:line="360" w:lineRule="auto"/>
        <w:ind w:firstLine="480" w:firstLineChars="200"/>
        <w:rPr>
          <w:rFonts w:hint="eastAsia"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四、绑卡后可开通的线上业务</w:t>
      </w:r>
    </w:p>
    <w:tbl>
      <w:tblPr>
        <w:tblStyle w:val="6"/>
        <w:tblW w:w="4997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974"/>
        <w:gridCol w:w="960"/>
        <w:gridCol w:w="1061"/>
        <w:gridCol w:w="954"/>
        <w:gridCol w:w="959"/>
        <w:gridCol w:w="976"/>
        <w:gridCol w:w="925"/>
      </w:tblGrid>
      <w:tr w14:paraId="300670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D583E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业务应用/绑卡类型</w:t>
            </w:r>
          </w:p>
        </w:tc>
        <w:tc>
          <w:tcPr>
            <w:tcW w:w="5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2768E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绑定个人主卡</w:t>
            </w: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30B12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绑定个人副卡</w:t>
            </w:r>
          </w:p>
        </w:tc>
        <w:tc>
          <w:tcPr>
            <w:tcW w:w="62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3FC03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绑定单位副卡（实体卡）</w:t>
            </w:r>
          </w:p>
        </w:tc>
        <w:tc>
          <w:tcPr>
            <w:tcW w:w="5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B60C2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绑定单位副卡（电子卡）</w:t>
            </w: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34C88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绑定单位主卡（实体卡）</w:t>
            </w:r>
          </w:p>
        </w:tc>
        <w:tc>
          <w:tcPr>
            <w:tcW w:w="57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9B417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绑定单位主卡（电子卡）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DD215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办理</w:t>
            </w:r>
          </w:p>
          <w:p w14:paraId="7C37BF2E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渠道</w:t>
            </w:r>
          </w:p>
        </w:tc>
      </w:tr>
      <w:tr w14:paraId="042C09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A4C5E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充值/退款</w:t>
            </w:r>
          </w:p>
        </w:tc>
        <w:tc>
          <w:tcPr>
            <w:tcW w:w="5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287E6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03F89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7B182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812F9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30698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7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DE610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43" w:type="pct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C4CDB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APP、</w:t>
            </w:r>
          </w:p>
          <w:p w14:paraId="1E95E71B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网厅PC</w:t>
            </w:r>
          </w:p>
        </w:tc>
      </w:tr>
      <w:tr w14:paraId="69CFC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2DDE7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预分配</w:t>
            </w:r>
          </w:p>
        </w:tc>
        <w:tc>
          <w:tcPr>
            <w:tcW w:w="5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F1410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DF325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0189B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ED49C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12427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7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86F85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43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500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C276D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68566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副卡信息修改</w:t>
            </w:r>
          </w:p>
        </w:tc>
        <w:tc>
          <w:tcPr>
            <w:tcW w:w="5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90009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2BF28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98E62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34A34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4DD48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7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78A4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43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220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29D6AB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BE2CE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挂失</w:t>
            </w:r>
          </w:p>
        </w:tc>
        <w:tc>
          <w:tcPr>
            <w:tcW w:w="5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E6224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C419F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15CC1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3901B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608A1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7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198CB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43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7FF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33D0E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ECE83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查询服务</w:t>
            </w:r>
          </w:p>
        </w:tc>
        <w:tc>
          <w:tcPr>
            <w:tcW w:w="5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FDE3A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09798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62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F88B4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4D11B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CE2D6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7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2353D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43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BC1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A4066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2367B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预约办卡</w:t>
            </w:r>
          </w:p>
        </w:tc>
        <w:tc>
          <w:tcPr>
            <w:tcW w:w="5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B9089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12859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0DFBF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F1CA8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BD624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7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28F99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43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D2D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429926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C4F5D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开具发票</w:t>
            </w:r>
          </w:p>
        </w:tc>
        <w:tc>
          <w:tcPr>
            <w:tcW w:w="5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F4601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62B2B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02AD7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594DD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9D7A7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7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806BA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D1914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APP、小程序、</w:t>
            </w:r>
          </w:p>
          <w:p w14:paraId="77BF4ACE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网厅PC</w:t>
            </w:r>
          </w:p>
        </w:tc>
      </w:tr>
      <w:tr w14:paraId="71F9AB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544AD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无卡支付</w:t>
            </w:r>
          </w:p>
        </w:tc>
        <w:tc>
          <w:tcPr>
            <w:tcW w:w="5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DA6C8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E99CD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62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B23D6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EEC2B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7C96D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B84A8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F50EC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APP、小程序</w:t>
            </w:r>
          </w:p>
        </w:tc>
      </w:tr>
      <w:tr w14:paraId="7C5E4C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D0345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服务评价</w:t>
            </w:r>
          </w:p>
        </w:tc>
        <w:tc>
          <w:tcPr>
            <w:tcW w:w="57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FF91C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A390A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62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59311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C2B93">
            <w:pPr>
              <w:widowControl/>
              <w:autoSpaceDE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6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E62F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7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C7BF6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54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4C74E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APP、</w:t>
            </w:r>
          </w:p>
          <w:p w14:paraId="0A91E015">
            <w:pPr>
              <w:autoSpaceDE w:val="0"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小程序、网厅PC</w:t>
            </w:r>
          </w:p>
        </w:tc>
      </w:tr>
    </w:tbl>
    <w:p w14:paraId="018FBB16">
      <w:pPr>
        <w:spacing w:line="360" w:lineRule="auto"/>
        <w:rPr>
          <w:rFonts w:ascii="仿宋" w:hAnsi="仿宋" w:eastAsia="仿宋" w:cs="仿宋"/>
          <w:sz w:val="24"/>
        </w:rPr>
      </w:pPr>
    </w:p>
    <w:p w14:paraId="03BFD2EE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黑体" w:hAnsi="黑体" w:eastAsia="黑体" w:cs="黑体"/>
          <w:sz w:val="24"/>
        </w:rPr>
        <w:t>五、解绑方式</w:t>
      </w:r>
    </w:p>
    <w:p w14:paraId="6795B343">
      <w:pPr>
        <w:spacing w:line="360" w:lineRule="auto"/>
        <w:ind w:firstLine="480" w:firstLineChars="200"/>
        <w:rPr>
          <w:rFonts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sz w:val="24"/>
        </w:rPr>
        <w:t>（一）主动解绑</w:t>
      </w:r>
    </w:p>
    <w:p w14:paraId="346C8666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kern w:val="0"/>
          <w:sz w:val="24"/>
          <w:lang w:bidi="ar"/>
        </w:rPr>
        <w:t xml:space="preserve"> 绑卡人可在已绑卡展示页面，选中已绑定卡后，自行进行解绑操作。</w:t>
      </w:r>
    </w:p>
    <w:p w14:paraId="28F8D522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(二</w:t>
      </w:r>
      <w:r>
        <w:rPr>
          <w:rFonts w:ascii="仿宋" w:hAnsi="仿宋" w:eastAsia="仿宋" w:cs="仿宋"/>
          <w:sz w:val="24"/>
        </w:rPr>
        <w:t>)</w:t>
      </w:r>
      <w:r>
        <w:rPr>
          <w:rFonts w:hint="eastAsia" w:ascii="仿宋" w:hAnsi="仿宋" w:eastAsia="仿宋" w:cs="仿宋"/>
          <w:sz w:val="24"/>
        </w:rPr>
        <w:t>被动解绑</w:t>
      </w:r>
    </w:p>
    <w:p w14:paraId="06E76576">
      <w:pPr>
        <w:pStyle w:val="5"/>
        <w:widowControl/>
        <w:spacing w:beforeAutospacing="0" w:afterAutospacing="0" w:line="360" w:lineRule="auto"/>
        <w:ind w:firstLine="480" w:firstLineChars="200"/>
        <w:rPr>
          <w:rFonts w:ascii="仿宋" w:hAnsi="仿宋" w:eastAsia="仿宋" w:cs="仿宋"/>
        </w:rPr>
      </w:pPr>
      <w:r>
        <w:rPr>
          <w:rFonts w:ascii="仿宋" w:hAnsi="仿宋" w:eastAsia="仿宋" w:cs="仿宋"/>
          <w:lang w:bidi="ar"/>
        </w:rPr>
        <w:t>1.</w:t>
      </w:r>
      <w:r>
        <w:rPr>
          <w:rFonts w:hint="eastAsia" w:ascii="仿宋" w:hAnsi="仿宋" w:eastAsia="仿宋" w:cs="仿宋"/>
          <w:lang w:bidi="ar"/>
        </w:rPr>
        <w:t>通过“实名绑卡”绑定的加油卡在售卡网点修改了持卡人信息后，原绑卡人自动解绑。</w:t>
      </w:r>
    </w:p>
    <w:p w14:paraId="7796DBD2">
      <w:pPr>
        <w:pStyle w:val="5"/>
        <w:widowControl/>
        <w:spacing w:beforeAutospacing="0" w:afterAutospacing="0" w:line="360" w:lineRule="auto"/>
        <w:ind w:firstLine="480" w:firstLineChars="200"/>
        <w:rPr>
          <w:rFonts w:ascii="仿宋" w:hAnsi="仿宋" w:eastAsia="仿宋" w:cs="仿宋"/>
        </w:rPr>
      </w:pPr>
      <w:r>
        <w:rPr>
          <w:rFonts w:ascii="仿宋" w:hAnsi="仿宋" w:eastAsia="仿宋" w:cs="仿宋"/>
          <w:lang w:bidi="ar"/>
        </w:rPr>
        <w:t>2.</w:t>
      </w:r>
      <w:r>
        <w:rPr>
          <w:rFonts w:hint="eastAsia" w:ascii="仿宋" w:hAnsi="仿宋" w:eastAsia="仿宋" w:cs="仿宋"/>
          <w:lang w:bidi="ar"/>
        </w:rPr>
        <w:t>通过“授权绑卡”绑定的单位副卡，如主卡持卡人重新对新的绑卡人授权确认后，原绑卡人自动解绑。</w:t>
      </w:r>
    </w:p>
    <w:p w14:paraId="4722D27D">
      <w:pPr>
        <w:pStyle w:val="5"/>
        <w:widowControl/>
        <w:spacing w:beforeAutospacing="0" w:afterAutospacing="0" w:line="360" w:lineRule="auto"/>
        <w:ind w:firstLine="480" w:firstLineChars="200"/>
        <w:rPr>
          <w:rFonts w:ascii="仿宋" w:hAnsi="仿宋" w:eastAsia="仿宋" w:cs="仿宋"/>
        </w:rPr>
      </w:pPr>
      <w:r>
        <w:rPr>
          <w:rFonts w:ascii="仿宋" w:hAnsi="仿宋" w:eastAsia="仿宋" w:cs="仿宋"/>
          <w:lang w:bidi="ar"/>
        </w:rPr>
        <w:t>3.</w:t>
      </w:r>
      <w:r>
        <w:rPr>
          <w:rFonts w:hint="eastAsia" w:ascii="仿宋" w:hAnsi="仿宋" w:eastAsia="仿宋" w:cs="仿宋"/>
          <w:lang w:bidi="ar"/>
        </w:rPr>
        <w:t xml:space="preserve">通过“授权绑卡”绑定的单位副卡，如副卡持卡人通过“实名绑卡”绑定后，原绑卡人自动解绑。 </w:t>
      </w:r>
    </w:p>
    <w:p w14:paraId="7C30CA80">
      <w:pPr>
        <w:pStyle w:val="5"/>
        <w:widowControl/>
        <w:spacing w:beforeAutospacing="0" w:afterAutospacing="0" w:line="360" w:lineRule="auto"/>
        <w:ind w:firstLine="480" w:firstLineChars="200"/>
        <w:rPr>
          <w:rFonts w:ascii="仿宋" w:hAnsi="仿宋" w:eastAsia="仿宋" w:cs="仿宋"/>
          <w:lang w:bidi="ar"/>
        </w:rPr>
      </w:pPr>
      <w:r>
        <w:rPr>
          <w:rFonts w:ascii="仿宋" w:hAnsi="仿宋" w:eastAsia="仿宋" w:cs="仿宋"/>
          <w:lang w:bidi="ar"/>
        </w:rPr>
        <w:t>4.</w:t>
      </w:r>
      <w:r>
        <w:rPr>
          <w:rFonts w:hint="eastAsia" w:ascii="仿宋" w:hAnsi="仿宋" w:eastAsia="仿宋" w:cs="仿宋"/>
          <w:lang w:bidi="ar"/>
        </w:rPr>
        <w:t>通过“授权绑卡”的绑卡人由“柴油权益会员”变更为“汽电服会员”后，授权绑定的卡自动解绑。</w:t>
      </w:r>
    </w:p>
    <w:p w14:paraId="591E3BEA">
      <w:pPr>
        <w:pStyle w:val="5"/>
        <w:widowControl/>
        <w:spacing w:beforeAutospacing="0" w:afterAutospacing="0" w:line="360" w:lineRule="auto"/>
        <w:ind w:firstLine="480" w:firstLineChars="200"/>
        <w:rPr>
          <w:rFonts w:ascii="仿宋" w:hAnsi="仿宋" w:eastAsia="仿宋" w:cs="仿宋"/>
        </w:rPr>
      </w:pPr>
      <w:r>
        <w:rPr>
          <w:rFonts w:hint="eastAsia" w:ascii="黑体" w:hAnsi="黑体" w:eastAsia="黑体" w:cs="黑体"/>
        </w:rPr>
        <w:t>六、绑卡业务的风险管控</w:t>
      </w:r>
    </w:p>
    <w:p w14:paraId="123D4CDC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</w:t>
      </w:r>
      <w:r>
        <w:rPr>
          <w:rFonts w:ascii="仿宋" w:hAnsi="仿宋" w:eastAsia="仿宋" w:cs="仿宋"/>
          <w:sz w:val="24"/>
        </w:rPr>
        <w:t>.</w:t>
      </w:r>
      <w:r>
        <w:rPr>
          <w:rFonts w:hint="eastAsia" w:ascii="仿宋" w:hAnsi="仿宋" w:eastAsia="仿宋" w:cs="仿宋"/>
          <w:sz w:val="24"/>
        </w:rPr>
        <w:t>如您的个人信息、单位信息已纳入我司“风险名单”的，将无法办理加油卡绑卡业务。</w:t>
      </w:r>
    </w:p>
    <w:p w14:paraId="69CD1604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</w:t>
      </w:r>
      <w:r>
        <w:rPr>
          <w:rFonts w:ascii="仿宋" w:hAnsi="仿宋" w:eastAsia="仿宋" w:cs="仿宋"/>
          <w:sz w:val="24"/>
        </w:rPr>
        <w:t>.</w:t>
      </w:r>
      <w:r>
        <w:rPr>
          <w:rFonts w:hint="eastAsia" w:ascii="仿宋" w:hAnsi="仿宋" w:eastAsia="仿宋" w:cs="仿宋"/>
          <w:sz w:val="24"/>
        </w:rPr>
        <w:t>如您绑定的加油卡已纳入我司“加油卡风险名单”的，该加油卡无法绑定。</w:t>
      </w:r>
    </w:p>
    <w:p w14:paraId="7F65285F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3</w:t>
      </w:r>
      <w:r>
        <w:rPr>
          <w:rFonts w:ascii="仿宋" w:hAnsi="仿宋" w:eastAsia="仿宋" w:cs="仿宋"/>
          <w:sz w:val="24"/>
        </w:rPr>
        <w:t>.</w:t>
      </w:r>
      <w:r>
        <w:rPr>
          <w:rFonts w:hint="eastAsia" w:ascii="仿宋" w:hAnsi="仿宋" w:eastAsia="仿宋" w:cs="仿宋"/>
          <w:sz w:val="24"/>
        </w:rPr>
        <w:t>为</w:t>
      </w:r>
      <w:r>
        <w:rPr>
          <w:rFonts w:hint="eastAsia" w:ascii="仿宋" w:hAnsi="仿宋" w:eastAsia="仿宋" w:cs="仿宋"/>
          <w:sz w:val="24"/>
          <w:lang w:val="en-US" w:eastAsia="zh-CN"/>
        </w:rPr>
        <w:t>防范</w:t>
      </w:r>
      <w:bookmarkStart w:id="0" w:name="_GoBack"/>
      <w:bookmarkEnd w:id="0"/>
      <w:r>
        <w:rPr>
          <w:rFonts w:hint="eastAsia" w:ascii="仿宋" w:hAnsi="仿宋" w:eastAsia="仿宋" w:cs="仿宋"/>
          <w:sz w:val="24"/>
        </w:rPr>
        <w:t>加油卡应用风险，系统将限制同一人、在一年内的绑卡张数和解绑卡次数。如超过系统阈值时，系统会提示“已超阈值，无法绑定”。</w:t>
      </w:r>
    </w:p>
    <w:p w14:paraId="70C92B8F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4</w:t>
      </w:r>
      <w:r>
        <w:rPr>
          <w:rFonts w:ascii="仿宋" w:hAnsi="仿宋" w:eastAsia="仿宋" w:cs="仿宋"/>
          <w:sz w:val="24"/>
        </w:rPr>
        <w:t>.</w:t>
      </w:r>
      <w:r>
        <w:rPr>
          <w:rFonts w:hint="eastAsia" w:ascii="仿宋" w:hAnsi="仿宋" w:eastAsia="仿宋" w:cs="仿宋"/>
          <w:sz w:val="24"/>
        </w:rPr>
        <w:t>如绑卡客户绑定的加油卡，在应用过程中如出现异常交易时，我司根据《中国石化IC卡章程》，将有权采取“阻断业务”、“提交验证”、“冻结帐户”等措施，对该加油卡进行管控。</w:t>
      </w:r>
    </w:p>
    <w:p w14:paraId="66F541F2">
      <w:pPr>
        <w:spacing w:line="360" w:lineRule="auto"/>
        <w:ind w:firstLine="480" w:firstLineChars="20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七、温馨提示</w:t>
      </w:r>
    </w:p>
    <w:p w14:paraId="10DCF3D0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建议您定期核对绑卡信息，确保用卡安全。如有疑问，请咨询当地发卡网点或拨打客服电话95388/95105888/95105988，也可到中国石化加油卡网上营业厅或易捷加油APP自行下载。感谢您的理解与配合。</w:t>
      </w:r>
    </w:p>
    <w:p w14:paraId="6BDF5EE7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</w:p>
    <w:p w14:paraId="13D28520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</w:p>
    <w:p w14:paraId="53CAA071"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</w:p>
    <w:p w14:paraId="2CFA1202"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  中国石化销售股份有限公司</w:t>
      </w:r>
    </w:p>
    <w:p w14:paraId="77194453"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     2025年3月</w:t>
      </w:r>
      <w:r>
        <w:rPr>
          <w:rFonts w:ascii="仿宋" w:hAnsi="仿宋" w:eastAsia="仿宋" w:cs="仿宋"/>
          <w:sz w:val="24"/>
        </w:rPr>
        <w:t>18</w:t>
      </w:r>
      <w:r>
        <w:rPr>
          <w:rFonts w:hint="eastAsia" w:ascii="仿宋" w:hAnsi="仿宋" w:eastAsia="仿宋" w:cs="仿宋"/>
          <w:sz w:val="24"/>
        </w:rPr>
        <w:t>日</w:t>
      </w:r>
    </w:p>
    <w:p w14:paraId="6BF61108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A3BF0557"/>
    <w:rsid w:val="000B13E7"/>
    <w:rsid w:val="000C60A5"/>
    <w:rsid w:val="002D7102"/>
    <w:rsid w:val="003D715B"/>
    <w:rsid w:val="004D655F"/>
    <w:rsid w:val="005E3B99"/>
    <w:rsid w:val="0064595E"/>
    <w:rsid w:val="006B1BF1"/>
    <w:rsid w:val="00AA24EC"/>
    <w:rsid w:val="00C51073"/>
    <w:rsid w:val="00D10FB1"/>
    <w:rsid w:val="00D678E0"/>
    <w:rsid w:val="00EA6914"/>
    <w:rsid w:val="00F20DD9"/>
    <w:rsid w:val="01422176"/>
    <w:rsid w:val="036D70E8"/>
    <w:rsid w:val="040D6EAF"/>
    <w:rsid w:val="04202A3E"/>
    <w:rsid w:val="05E11832"/>
    <w:rsid w:val="060C7C04"/>
    <w:rsid w:val="0A232419"/>
    <w:rsid w:val="0DC5535D"/>
    <w:rsid w:val="0FD71B51"/>
    <w:rsid w:val="0FEC7ECF"/>
    <w:rsid w:val="143A759D"/>
    <w:rsid w:val="15264FD0"/>
    <w:rsid w:val="16523171"/>
    <w:rsid w:val="177B159F"/>
    <w:rsid w:val="1D2B5693"/>
    <w:rsid w:val="1DCA10D2"/>
    <w:rsid w:val="1EB15DEE"/>
    <w:rsid w:val="252F6783"/>
    <w:rsid w:val="25394189"/>
    <w:rsid w:val="257362C1"/>
    <w:rsid w:val="26415830"/>
    <w:rsid w:val="26BA3FAA"/>
    <w:rsid w:val="2A7B5790"/>
    <w:rsid w:val="2AF072B3"/>
    <w:rsid w:val="2FAF5689"/>
    <w:rsid w:val="34A37213"/>
    <w:rsid w:val="35C37245"/>
    <w:rsid w:val="37DE5EBA"/>
    <w:rsid w:val="38B109D3"/>
    <w:rsid w:val="3990216F"/>
    <w:rsid w:val="3E4F63D7"/>
    <w:rsid w:val="3F6C5190"/>
    <w:rsid w:val="427D3DCA"/>
    <w:rsid w:val="47F70704"/>
    <w:rsid w:val="4B6472DB"/>
    <w:rsid w:val="4C2260F2"/>
    <w:rsid w:val="4CDE2001"/>
    <w:rsid w:val="4D8C22A2"/>
    <w:rsid w:val="513C6A7B"/>
    <w:rsid w:val="568728B6"/>
    <w:rsid w:val="58EA3666"/>
    <w:rsid w:val="5BBD7E03"/>
    <w:rsid w:val="60B1344C"/>
    <w:rsid w:val="61517141"/>
    <w:rsid w:val="621023F8"/>
    <w:rsid w:val="62490679"/>
    <w:rsid w:val="62E47DC4"/>
    <w:rsid w:val="63590C6A"/>
    <w:rsid w:val="63CE2A65"/>
    <w:rsid w:val="64014E13"/>
    <w:rsid w:val="646A7C22"/>
    <w:rsid w:val="66981296"/>
    <w:rsid w:val="67B35CFF"/>
    <w:rsid w:val="6BC55C42"/>
    <w:rsid w:val="6E161265"/>
    <w:rsid w:val="706042A9"/>
    <w:rsid w:val="73BE471B"/>
    <w:rsid w:val="74946027"/>
    <w:rsid w:val="77758997"/>
    <w:rsid w:val="77E04551"/>
    <w:rsid w:val="785B7EC2"/>
    <w:rsid w:val="78F36609"/>
    <w:rsid w:val="7B311871"/>
    <w:rsid w:val="7DA056F0"/>
    <w:rsid w:val="7DB163E5"/>
    <w:rsid w:val="7E071791"/>
    <w:rsid w:val="7F1A5ECC"/>
    <w:rsid w:val="7FCD921D"/>
    <w:rsid w:val="9CBDDC00"/>
    <w:rsid w:val="A3BF0557"/>
    <w:rsid w:val="DEE7F9AA"/>
    <w:rsid w:val="EB3D355A"/>
    <w:rsid w:val="EDFFF88A"/>
    <w:rsid w:val="EFFB01E1"/>
    <w:rsid w:val="FC759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customStyle="1" w:styleId="8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Sinopec</Company>
  <Pages>3</Pages>
  <Words>278</Words>
  <Characters>1587</Characters>
  <Lines>13</Lines>
  <Paragraphs>3</Paragraphs>
  <TotalTime>2</TotalTime>
  <ScaleCrop>false</ScaleCrop>
  <LinksUpToDate>false</LinksUpToDate>
  <CharactersWithSpaces>1862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2025-03-18T03:02:00Z</dcterms:created>
  <dc:creator>zhangxuewei</dc:creator>
  <cp:lastModifiedBy>杨媛媛</cp:lastModifiedBy>
  <cp:lastPrinted>2025-03-18T01:25:00Z</cp:lastPrinted>
  <dcterms:modified xsi:type="dcterms:W3CDTF">2025-04-02T01:51:11Z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CAD5B13E04143893F697D367B66AE3FD</vt:lpwstr>
  </property>
  <property fmtid="{D5CDD505-2E9C-101B-9397-08002B2CF9AE}" pid="4" name="KSOTemplateDocerSaveRecord">
    <vt:lpwstr>eyJoZGlkIjoiOWFlNjU4M2JmZThmZTc4MmViOTYwNmVjNzhmMWEwM2QiLCJ1c2VySWQiOiI1MjAyNDc2OTkifQ==</vt:lpwstr>
  </property>
</Properties>
</file>